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484" w:rsidRDefault="00FE3484" w:rsidP="00FE3484">
      <w:pPr>
        <w:spacing w:line="480" w:lineRule="auto"/>
        <w:jc w:val="center"/>
      </w:pPr>
      <w:r>
        <w:t>Example 3: Factorial ANOVA Results with Nonsignificant Interaction</w:t>
      </w:r>
    </w:p>
    <w:p w:rsidR="00FE3484" w:rsidRDefault="00FE3484" w:rsidP="00FE3484">
      <w:pPr>
        <w:spacing w:line="480" w:lineRule="auto"/>
      </w:pPr>
      <w:r>
        <w:tab/>
        <w:t xml:space="preserve">A 2 X 3 ANOVA was conducted on grade point average improvement with respect to differences in note-taking methods and gender. An alpha level of .05 was utilized for this study. Males and females were normally distributed. Note-taking method was also normally distributed for method 1, method 2, and the control group. Variances were homogeneous, </w:t>
      </w:r>
      <w:proofErr w:type="spellStart"/>
      <w:r>
        <w:rPr>
          <w:i/>
        </w:rPr>
        <w:t>F</w:t>
      </w:r>
      <w:r w:rsidRPr="00630126">
        <w:rPr>
          <w:i/>
          <w:vertAlign w:val="subscript"/>
        </w:rPr>
        <w:t>Levene</w:t>
      </w:r>
      <w:proofErr w:type="spellEnd"/>
      <w:r>
        <w:t xml:space="preserve"> (5, 54) = .575, </w:t>
      </w:r>
      <w:r>
        <w:rPr>
          <w:i/>
        </w:rPr>
        <w:t>p</w:t>
      </w:r>
      <w:r>
        <w:t xml:space="preserve"> = .719. </w:t>
      </w:r>
    </w:p>
    <w:p w:rsidR="00FE3484" w:rsidRPr="009943EC" w:rsidRDefault="00FE3484" w:rsidP="00FE3484">
      <w:pPr>
        <w:spacing w:line="480" w:lineRule="auto"/>
        <w:ind w:firstLine="720"/>
      </w:pPr>
      <w:r>
        <w:t xml:space="preserve">There was not a statistically significant interaction between gender and note-taking method, </w:t>
      </w:r>
      <w:r>
        <w:rPr>
          <w:i/>
        </w:rPr>
        <w:t>F</w:t>
      </w:r>
      <w:r>
        <w:t xml:space="preserve">(2, 54) = 2.921, </w:t>
      </w:r>
      <w:r>
        <w:rPr>
          <w:i/>
        </w:rPr>
        <w:t>p</w:t>
      </w:r>
      <w:r>
        <w:t xml:space="preserve"> = .062. Statistically significant differences were found in grade point average improvement between males and females, </w:t>
      </w:r>
      <w:r>
        <w:rPr>
          <w:i/>
        </w:rPr>
        <w:t>F</w:t>
      </w:r>
      <w:r>
        <w:t xml:space="preserve">(1, 54) =  15.86, </w:t>
      </w:r>
      <w:r>
        <w:rPr>
          <w:i/>
        </w:rPr>
        <w:t>p</w:t>
      </w:r>
      <w:r>
        <w:t xml:space="preserve"> &lt; .001. Males had significantly improved their </w:t>
      </w:r>
      <w:proofErr w:type="spellStart"/>
      <w:r>
        <w:t>gpa</w:t>
      </w:r>
      <w:proofErr w:type="spellEnd"/>
      <w:r>
        <w:t xml:space="preserve"> compared to females (see Table 1). </w:t>
      </w:r>
      <w:r w:rsidRPr="0032562E">
        <w:t>A</w:t>
      </w:r>
      <w:r>
        <w:t xml:space="preserve"> large effect size was noted </w:t>
      </w:r>
      <w:r>
        <w:rPr>
          <w:i/>
        </w:rPr>
        <w:t xml:space="preserve">d </w:t>
      </w:r>
      <w:r>
        <w:t xml:space="preserve">= </w:t>
      </w:r>
      <w:r>
        <w:t>.80</w:t>
      </w:r>
      <w:r w:rsidR="00D96FC2">
        <w:t xml:space="preserve"> (95% CI [.28, 1.34])</w:t>
      </w:r>
      <w:r>
        <w:t xml:space="preserve"> indicating a strong degree of practical significance. </w:t>
      </w:r>
      <w:r w:rsidR="00D96FC2">
        <w:t xml:space="preserve">Replication of this analysis could yield effects that range from small to large, suggesting some instability in this finding. </w:t>
      </w:r>
      <w:proofErr w:type="spellStart"/>
      <w:r>
        <w:t>Statistically</w:t>
      </w:r>
      <w:proofErr w:type="spellEnd"/>
      <w:r>
        <w:t xml:space="preserve"> significant differences were found in grade point average improvement among note-taking methods, </w:t>
      </w:r>
      <w:r>
        <w:rPr>
          <w:i/>
        </w:rPr>
        <w:t>F</w:t>
      </w:r>
      <w:r>
        <w:t xml:space="preserve">(2, 54) =  17.809, </w:t>
      </w:r>
      <w:r>
        <w:rPr>
          <w:i/>
        </w:rPr>
        <w:t>p</w:t>
      </w:r>
      <w:r>
        <w:t xml:space="preserve"> &lt; .001. </w:t>
      </w:r>
      <w:r w:rsidRPr="0032562E">
        <w:t>A</w:t>
      </w:r>
      <w:r>
        <w:t xml:space="preserve"> large effect size was noted </w:t>
      </w:r>
      <w:r>
        <w:rPr>
          <w:i/>
        </w:rPr>
        <w:t>f</w:t>
      </w:r>
      <w:r>
        <w:rPr>
          <w:i/>
          <w:vertAlign w:val="superscript"/>
        </w:rPr>
        <w:t xml:space="preserve"> </w:t>
      </w:r>
      <w:r>
        <w:rPr>
          <w:i/>
        </w:rPr>
        <w:t xml:space="preserve"> </w:t>
      </w:r>
      <w:r>
        <w:t>= .</w:t>
      </w:r>
      <w:r>
        <w:t>77</w:t>
      </w:r>
      <w:r w:rsidR="00D96FC2">
        <w:t xml:space="preserve"> (95% CI [.47, 1.08])</w:t>
      </w:r>
      <w:r>
        <w:t xml:space="preserve"> indicating a strong degree of practical significance.</w:t>
      </w:r>
      <w:r w:rsidR="000E3F89">
        <w:t xml:space="preserve"> </w:t>
      </w:r>
      <w:r w:rsidR="000E3F89">
        <w:t xml:space="preserve">Replication of this analysis could yield effects that range from </w:t>
      </w:r>
      <w:r w:rsidR="000E3F89">
        <w:t>large</w:t>
      </w:r>
      <w:r w:rsidR="000E3F89">
        <w:t xml:space="preserve"> to </w:t>
      </w:r>
      <w:r w:rsidR="000E3F89">
        <w:t xml:space="preserve">very </w:t>
      </w:r>
      <w:r w:rsidR="000E3F89">
        <w:t>large, suggesting this finding</w:t>
      </w:r>
      <w:r w:rsidR="000E3F89">
        <w:t xml:space="preserve"> is relatively stable</w:t>
      </w:r>
      <w:r w:rsidR="000E3F89">
        <w:t xml:space="preserve">. </w:t>
      </w:r>
      <w:r>
        <w:t xml:space="preserve"> A Tukey post hoc analysis was conducted on note-taking method. Method 2 was statistically significantly higher than both the control group (</w:t>
      </w:r>
      <w:r>
        <w:rPr>
          <w:i/>
        </w:rPr>
        <w:t>p</w:t>
      </w:r>
      <w:r>
        <w:t xml:space="preserve"> &lt; .001) and Method 1 (</w:t>
      </w:r>
      <w:r>
        <w:rPr>
          <w:i/>
        </w:rPr>
        <w:t>p</w:t>
      </w:r>
      <w:r>
        <w:t xml:space="preserve"> = .001) (see table </w:t>
      </w:r>
      <w:r w:rsidR="00D96FC2">
        <w:t>2</w:t>
      </w:r>
      <w:r>
        <w:t xml:space="preserve">). Large effect sizes were noted between method 2 and method 1, </w:t>
      </w:r>
      <w:r>
        <w:rPr>
          <w:i/>
        </w:rPr>
        <w:t>d</w:t>
      </w:r>
      <w:r>
        <w:t xml:space="preserve"> = .94, method 2 and the control group, </w:t>
      </w:r>
      <w:r>
        <w:rPr>
          <w:i/>
        </w:rPr>
        <w:t>d</w:t>
      </w:r>
      <w:r>
        <w:t xml:space="preserve"> = 1.65, and method 1 and control, </w:t>
      </w:r>
      <w:r>
        <w:rPr>
          <w:i/>
        </w:rPr>
        <w:t>d</w:t>
      </w:r>
      <w:r>
        <w:t xml:space="preserve"> = .63. Given the sample size of </w:t>
      </w:r>
      <w:r>
        <w:rPr>
          <w:i/>
        </w:rPr>
        <w:t>n</w:t>
      </w:r>
      <w:r>
        <w:t xml:space="preserve"> = 60, statistical significance would be detected for large effect sizes,</w:t>
      </w:r>
      <w:r w:rsidR="00D96FC2">
        <w:t xml:space="preserve"> </w:t>
      </w:r>
      <w:r w:rsidR="00D96FC2">
        <w:rPr>
          <w:i/>
          <w:iCs/>
        </w:rPr>
        <w:t>f</w:t>
      </w:r>
      <w:r>
        <w:rPr>
          <w:i/>
          <w:vertAlign w:val="superscript"/>
        </w:rPr>
        <w:t xml:space="preserve"> </w:t>
      </w:r>
      <w:r>
        <w:t xml:space="preserve">  &gt; .</w:t>
      </w:r>
      <w:r w:rsidR="00D96FC2">
        <w:t>41</w:t>
      </w:r>
      <w:r>
        <w:t>.</w:t>
      </w:r>
    </w:p>
    <w:p w:rsidR="00FE3484" w:rsidRPr="00125AF6" w:rsidRDefault="00FE3484" w:rsidP="00FE3484">
      <w:pPr>
        <w:spacing w:line="480" w:lineRule="auto"/>
        <w:ind w:firstLine="720"/>
        <w:sectPr w:rsidR="00FE3484" w:rsidRPr="00125AF6" w:rsidSect="00114CDB">
          <w:pgSz w:w="12240" w:h="15840"/>
          <w:pgMar w:top="1440" w:right="1800" w:bottom="1440" w:left="1800" w:header="720" w:footer="720" w:gutter="0"/>
          <w:cols w:space="720"/>
          <w:noEndnote/>
          <w:docGrid w:linePitch="326"/>
        </w:sectPr>
      </w:pPr>
    </w:p>
    <w:p w:rsidR="00FE3484" w:rsidRDefault="00FE3484" w:rsidP="00FE3484">
      <w:pPr>
        <w:spacing w:line="480" w:lineRule="auto"/>
        <w:ind w:firstLine="720"/>
      </w:pPr>
    </w:p>
    <w:tbl>
      <w:tblPr>
        <w:tblW w:w="5760" w:type="dxa"/>
        <w:tblInd w:w="93" w:type="dxa"/>
        <w:tblLook w:val="0000" w:firstRow="0" w:lastRow="0" w:firstColumn="0" w:lastColumn="0" w:noHBand="0" w:noVBand="0"/>
      </w:tblPr>
      <w:tblGrid>
        <w:gridCol w:w="960"/>
        <w:gridCol w:w="135"/>
        <w:gridCol w:w="825"/>
        <w:gridCol w:w="960"/>
        <w:gridCol w:w="960"/>
        <w:gridCol w:w="960"/>
        <w:gridCol w:w="960"/>
      </w:tblGrid>
      <w:tr w:rsidR="00FE3484" w:rsidTr="008B21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FE3484" w:rsidTr="008B21F0">
        <w:trPr>
          <w:trHeight w:val="255"/>
        </w:trPr>
        <w:tc>
          <w:tcPr>
            <w:tcW w:w="5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Change in GPA Across Gender and Note-Taking Method</w:t>
            </w:r>
          </w:p>
        </w:tc>
      </w:tr>
      <w:tr w:rsidR="00FE3484" w:rsidTr="008B21F0">
        <w:trPr>
          <w:trHeight w:val="255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Gender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FE3484" w:rsidTr="008B21F0">
        <w:trPr>
          <w:trHeight w:val="255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FE3484" w:rsidTr="008B21F0">
        <w:trPr>
          <w:trHeight w:val="255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Women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FE3484" w:rsidTr="008B21F0">
        <w:trPr>
          <w:trHeight w:val="255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FE3484" w:rsidTr="008B21F0">
        <w:trPr>
          <w:trHeight w:val="255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FE3484" w:rsidTr="008B21F0">
        <w:trPr>
          <w:trHeight w:val="255"/>
        </w:trPr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Control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84" w:rsidRDefault="00FE3484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D96FC2" w:rsidRDefault="00D96FC2"/>
    <w:p w:rsidR="00D96FC2" w:rsidRDefault="00D96FC2"/>
    <w:p w:rsidR="00D96FC2" w:rsidRDefault="00D96FC2" w:rsidP="00D96FC2">
      <w:r>
        <w:t>Table 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41"/>
        <w:gridCol w:w="1043"/>
        <w:gridCol w:w="41"/>
        <w:gridCol w:w="1479"/>
        <w:gridCol w:w="87"/>
        <w:gridCol w:w="1119"/>
        <w:gridCol w:w="63"/>
        <w:gridCol w:w="1110"/>
        <w:gridCol w:w="63"/>
        <w:gridCol w:w="650"/>
        <w:gridCol w:w="41"/>
        <w:gridCol w:w="689"/>
        <w:gridCol w:w="41"/>
        <w:gridCol w:w="1012"/>
        <w:gridCol w:w="60"/>
        <w:gridCol w:w="737"/>
        <w:gridCol w:w="41"/>
      </w:tblGrid>
      <w:tr w:rsidR="00D96FC2" w:rsidRPr="00D96FC2" w:rsidTr="00D96FC2"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b/>
                <w:bCs/>
                <w:szCs w:val="24"/>
              </w:rPr>
            </w:pPr>
            <w:r w:rsidRPr="00D96FC2">
              <w:rPr>
                <w:b/>
                <w:bCs/>
                <w:szCs w:val="24"/>
              </w:rPr>
              <w:t xml:space="preserve">Post Hoc Comparisons - method </w:t>
            </w:r>
          </w:p>
        </w:tc>
      </w:tr>
      <w:tr w:rsidR="00D96FC2" w:rsidRPr="00D96FC2" w:rsidTr="00D96FC2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center"/>
              <w:rPr>
                <w:b/>
                <w:bCs/>
                <w:szCs w:val="24"/>
              </w:rPr>
            </w:pPr>
            <w:r w:rsidRPr="00D96FC2">
              <w:rPr>
                <w:b/>
                <w:bCs/>
                <w:szCs w:val="24"/>
              </w:rPr>
              <w:t xml:space="preserve">95% CI for Mean Difference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96FC2" w:rsidRPr="00D96FC2" w:rsidTr="00D96FC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center"/>
              <w:rPr>
                <w:b/>
                <w:bCs/>
                <w:szCs w:val="24"/>
              </w:rPr>
            </w:pPr>
            <w:r w:rsidRPr="00D96FC2">
              <w:rPr>
                <w:b/>
                <w:bCs/>
                <w:szCs w:val="24"/>
              </w:rPr>
              <w:t xml:space="preserve">Mean Difference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center"/>
              <w:rPr>
                <w:b/>
                <w:bCs/>
                <w:szCs w:val="24"/>
              </w:rPr>
            </w:pPr>
            <w:r w:rsidRPr="00D96FC2">
              <w:rPr>
                <w:b/>
                <w:bCs/>
                <w:szCs w:val="24"/>
              </w:rPr>
              <w:t xml:space="preserve">Lower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center"/>
              <w:rPr>
                <w:b/>
                <w:bCs/>
                <w:szCs w:val="24"/>
              </w:rPr>
            </w:pPr>
            <w:r w:rsidRPr="00D96FC2">
              <w:rPr>
                <w:b/>
                <w:bCs/>
                <w:szCs w:val="24"/>
              </w:rPr>
              <w:t xml:space="preserve">Upper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center"/>
              <w:rPr>
                <w:b/>
                <w:bCs/>
                <w:szCs w:val="24"/>
              </w:rPr>
            </w:pPr>
            <w:r w:rsidRPr="00D96FC2">
              <w:rPr>
                <w:b/>
                <w:bCs/>
                <w:szCs w:val="24"/>
              </w:rPr>
              <w:t xml:space="preserve">SE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center"/>
              <w:rPr>
                <w:b/>
                <w:bCs/>
                <w:szCs w:val="24"/>
              </w:rPr>
            </w:pPr>
            <w:r w:rsidRPr="00D96FC2">
              <w:rPr>
                <w:b/>
                <w:bCs/>
                <w:szCs w:val="24"/>
              </w:rPr>
              <w:t xml:space="preserve">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center"/>
              <w:rPr>
                <w:b/>
                <w:bCs/>
                <w:szCs w:val="24"/>
              </w:rPr>
            </w:pPr>
            <w:r w:rsidRPr="00D96FC2">
              <w:rPr>
                <w:b/>
                <w:bCs/>
                <w:szCs w:val="24"/>
              </w:rPr>
              <w:t xml:space="preserve">Cohen's 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center"/>
              <w:rPr>
                <w:b/>
                <w:bCs/>
                <w:szCs w:val="24"/>
              </w:rPr>
            </w:pPr>
            <w:r w:rsidRPr="00D96FC2">
              <w:rPr>
                <w:b/>
                <w:bCs/>
                <w:szCs w:val="24"/>
              </w:rPr>
              <w:t xml:space="preserve">p </w:t>
            </w:r>
            <w:proofErr w:type="spellStart"/>
            <w:r w:rsidRPr="00D96FC2">
              <w:rPr>
                <w:b/>
                <w:bCs/>
                <w:szCs w:val="24"/>
                <w:vertAlign w:val="subscript"/>
              </w:rPr>
              <w:t>tukey</w:t>
            </w:r>
            <w:proofErr w:type="spellEnd"/>
            <w:r w:rsidRPr="00D96FC2">
              <w:rPr>
                <w:b/>
                <w:bCs/>
                <w:szCs w:val="24"/>
                <w:vertAlign w:val="subscript"/>
              </w:rPr>
              <w:t xml:space="preserve"> </w:t>
            </w:r>
          </w:p>
        </w:tc>
      </w:tr>
      <w:tr w:rsidR="00D96FC2" w:rsidRPr="00D96FC2" w:rsidTr="00D96F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  <w:r w:rsidRPr="00D96FC2">
              <w:rPr>
                <w:szCs w:val="24"/>
              </w:rPr>
              <w:t xml:space="preserve">Method,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  <w:r w:rsidRPr="00D96FC2">
              <w:rPr>
                <w:szCs w:val="24"/>
              </w:rPr>
              <w:t xml:space="preserve">Method,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-0.220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-0.358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-0.082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0.057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-3.832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-0.939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</w:tr>
      <w:tr w:rsidR="00D96FC2" w:rsidRPr="00D96FC2" w:rsidTr="00D96F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  <w:r w:rsidRPr="00D96FC2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  <w:r w:rsidRPr="00D96FC2">
              <w:rPr>
                <w:szCs w:val="24"/>
              </w:rPr>
              <w:t xml:space="preserve">Control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0.118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-0.021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0.256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0.057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2.047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0.631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0.111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</w:tr>
      <w:tr w:rsidR="00D96FC2" w:rsidRPr="00D96FC2" w:rsidTr="00D96F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  <w:r w:rsidRPr="00D96FC2">
              <w:rPr>
                <w:szCs w:val="24"/>
              </w:rPr>
              <w:t xml:space="preserve">Method,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  <w:r w:rsidRPr="00D96FC2">
              <w:rPr>
                <w:szCs w:val="24"/>
              </w:rPr>
              <w:t xml:space="preserve">Control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0.337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0.199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0.476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0.057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5.878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1.651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  <w:r w:rsidRPr="00D96FC2">
              <w:rPr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jc w:val="right"/>
              <w:rPr>
                <w:szCs w:val="24"/>
              </w:rPr>
            </w:pPr>
          </w:p>
        </w:tc>
      </w:tr>
      <w:tr w:rsidR="00D96FC2" w:rsidRPr="00D96FC2" w:rsidTr="00D96FC2"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 w:val="20"/>
              </w:rPr>
            </w:pPr>
          </w:p>
        </w:tc>
      </w:tr>
      <w:tr w:rsidR="00D96FC2" w:rsidRPr="00D96FC2" w:rsidTr="00D96FC2"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  <w:r w:rsidRPr="00D96FC2">
              <w:rPr>
                <w:i/>
                <w:iCs/>
                <w:szCs w:val="24"/>
              </w:rPr>
              <w:t xml:space="preserve">Note. </w:t>
            </w:r>
            <w:r w:rsidRPr="00D96FC2">
              <w:rPr>
                <w:szCs w:val="24"/>
              </w:rPr>
              <w:t xml:space="preserve"> Cohen's d does not correct for multiple comparisons. </w:t>
            </w:r>
          </w:p>
        </w:tc>
      </w:tr>
      <w:tr w:rsidR="00D96FC2" w:rsidRPr="00D96FC2" w:rsidTr="00D96FC2"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  <w:r w:rsidRPr="00D96FC2">
              <w:rPr>
                <w:i/>
                <w:iCs/>
                <w:szCs w:val="24"/>
              </w:rPr>
              <w:t xml:space="preserve">Note. </w:t>
            </w:r>
            <w:r w:rsidRPr="00D96FC2">
              <w:rPr>
                <w:szCs w:val="24"/>
              </w:rPr>
              <w:t xml:space="preserve"> P-value and confidence intervals adjusted for comparing a family of 3 estimates (confidence intervals corrected using the </w:t>
            </w:r>
            <w:proofErr w:type="spellStart"/>
            <w:r w:rsidRPr="00D96FC2">
              <w:rPr>
                <w:szCs w:val="24"/>
              </w:rPr>
              <w:t>tukey</w:t>
            </w:r>
            <w:proofErr w:type="spellEnd"/>
            <w:r w:rsidRPr="00D96FC2">
              <w:rPr>
                <w:szCs w:val="24"/>
              </w:rPr>
              <w:t xml:space="preserve"> method). </w:t>
            </w:r>
          </w:p>
        </w:tc>
      </w:tr>
      <w:tr w:rsidR="00D96FC2" w:rsidRPr="00D96FC2" w:rsidTr="00D96FC2"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FC2" w:rsidRPr="00D96FC2" w:rsidRDefault="00D96FC2" w:rsidP="00D96FC2">
            <w:pPr>
              <w:rPr>
                <w:szCs w:val="24"/>
              </w:rPr>
            </w:pPr>
            <w:r w:rsidRPr="00D96FC2">
              <w:rPr>
                <w:i/>
                <w:iCs/>
                <w:szCs w:val="24"/>
              </w:rPr>
              <w:t xml:space="preserve">Note. </w:t>
            </w:r>
            <w:r w:rsidRPr="00D96FC2">
              <w:rPr>
                <w:szCs w:val="24"/>
              </w:rPr>
              <w:t xml:space="preserve"> Results are averaged over the levels of: gender </w:t>
            </w:r>
          </w:p>
        </w:tc>
      </w:tr>
    </w:tbl>
    <w:p w:rsidR="00D96FC2" w:rsidRPr="00D96FC2" w:rsidRDefault="00D96FC2" w:rsidP="00D96FC2"/>
    <w:p w:rsidR="000552B5" w:rsidRDefault="00FE3484">
      <w:r w:rsidRPr="00D96FC2">
        <w:br w:type="page"/>
      </w:r>
    </w:p>
    <w:sectPr w:rsidR="000552B5" w:rsidSect="00B82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84"/>
    <w:rsid w:val="00034D72"/>
    <w:rsid w:val="000552B5"/>
    <w:rsid w:val="000E3F89"/>
    <w:rsid w:val="00112EA5"/>
    <w:rsid w:val="001C4138"/>
    <w:rsid w:val="002044E1"/>
    <w:rsid w:val="00290992"/>
    <w:rsid w:val="003137F0"/>
    <w:rsid w:val="003F3501"/>
    <w:rsid w:val="003F4D4F"/>
    <w:rsid w:val="00672FD3"/>
    <w:rsid w:val="0081763E"/>
    <w:rsid w:val="008F71E6"/>
    <w:rsid w:val="00A41A7B"/>
    <w:rsid w:val="00AC1973"/>
    <w:rsid w:val="00B2108C"/>
    <w:rsid w:val="00B64E5C"/>
    <w:rsid w:val="00B82CFD"/>
    <w:rsid w:val="00C03333"/>
    <w:rsid w:val="00D96FC2"/>
    <w:rsid w:val="00EC7C60"/>
    <w:rsid w:val="00F62FE0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C839"/>
  <w15:chartTrackingRefBased/>
  <w15:docId w15:val="{C2004B13-393A-1A4F-96F2-90005153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84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96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8225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rsbalkin</dc:creator>
  <cp:keywords/>
  <dc:description/>
  <cp:lastModifiedBy>rsbalkin</cp:lastModifiedBy>
  <cp:revision>1</cp:revision>
  <dcterms:created xsi:type="dcterms:W3CDTF">2020-10-01T21:58:00Z</dcterms:created>
  <dcterms:modified xsi:type="dcterms:W3CDTF">2020-10-01T22:32:00Z</dcterms:modified>
</cp:coreProperties>
</file>