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BCBA9" w14:textId="77777777" w:rsidR="001C5FDA" w:rsidRDefault="001C5FDA" w:rsidP="001C5FDA">
      <w:pPr>
        <w:spacing w:line="480" w:lineRule="auto"/>
        <w:jc w:val="center"/>
      </w:pPr>
      <w:r>
        <w:t>Example 1: Results for a One-way ANOVA with Tukey Post hoc</w:t>
      </w:r>
    </w:p>
    <w:p w14:paraId="2C80FC1F" w14:textId="79155099" w:rsidR="001C5FDA" w:rsidRPr="009943EC" w:rsidRDefault="001C5FDA" w:rsidP="001C5FDA">
      <w:pPr>
        <w:spacing w:line="480" w:lineRule="auto"/>
      </w:pPr>
      <w:r>
        <w:tab/>
        <w:t xml:space="preserve">A one-way ANOVA was conducted to explore </w:t>
      </w:r>
      <w:r w:rsidR="00C67A37">
        <w:t xml:space="preserve">anxiety </w:t>
      </w:r>
      <w:r>
        <w:t xml:space="preserve">based on </w:t>
      </w:r>
      <w:r w:rsidR="00C67A37">
        <w:t>political affiliation</w:t>
      </w:r>
      <w:r>
        <w:t xml:space="preserve">. An alpha level of .05 was utilized. Descriptive statistics are in Table 1. All groups were normally distributed. Variances were homogeneous, </w:t>
      </w:r>
      <w:r>
        <w:rPr>
          <w:i/>
        </w:rPr>
        <w:t>F</w:t>
      </w:r>
      <w:r>
        <w:t xml:space="preserve"> (3, 16) = 1.3</w:t>
      </w:r>
      <w:r w:rsidR="00C67A37">
        <w:t>7</w:t>
      </w:r>
      <w:r>
        <w:t xml:space="preserve">, </w:t>
      </w:r>
      <w:r>
        <w:rPr>
          <w:i/>
        </w:rPr>
        <w:t>p</w:t>
      </w:r>
      <w:r>
        <w:t xml:space="preserve"> = .289. Statistically significant differences were evident among the </w:t>
      </w:r>
      <w:r w:rsidR="00C67A37">
        <w:t xml:space="preserve">political </w:t>
      </w:r>
      <w:r>
        <w:t xml:space="preserve">groups, </w:t>
      </w:r>
      <w:r>
        <w:rPr>
          <w:i/>
        </w:rPr>
        <w:t>F</w:t>
      </w:r>
      <w:r>
        <w:t xml:space="preserve"> (3, 16) = 11.49, </w:t>
      </w:r>
      <w:r>
        <w:rPr>
          <w:i/>
        </w:rPr>
        <w:t>p</w:t>
      </w:r>
      <w:r>
        <w:t xml:space="preserve"> &lt; .001. A large effect size was noted, </w:t>
      </w:r>
      <w:r>
        <w:rPr>
          <w:i/>
        </w:rPr>
        <w:sym w:font="Symbol" w:char="F068"/>
      </w:r>
      <w:r w:rsidRPr="002E31EA">
        <w:rPr>
          <w:i/>
          <w:vertAlign w:val="superscript"/>
        </w:rPr>
        <w:t>2</w:t>
      </w:r>
      <w:r>
        <w:t>= .68</w:t>
      </w:r>
      <w:r w:rsidR="00C67A37">
        <w:t xml:space="preserve"> (95% CI [.27, .78])</w:t>
      </w:r>
      <w:r>
        <w:t xml:space="preserve">, indicative of a strong degree of practical significance. </w:t>
      </w:r>
      <w:r w:rsidR="00E4734E">
        <w:t xml:space="preserve">Replication of this analysis could yield effects </w:t>
      </w:r>
      <w:r w:rsidR="00E4734E">
        <w:t>consistent with a large effect size</w:t>
      </w:r>
      <w:r w:rsidR="00E4734E">
        <w:t xml:space="preserve">, suggesting </w:t>
      </w:r>
      <w:r w:rsidR="00E4734E">
        <w:t>a sta</w:t>
      </w:r>
      <w:bookmarkStart w:id="0" w:name="_GoBack"/>
      <w:bookmarkEnd w:id="0"/>
      <w:r w:rsidR="00E4734E">
        <w:t>ble</w:t>
      </w:r>
      <w:r w:rsidR="00E4734E">
        <w:t xml:space="preserve"> finding.</w:t>
      </w:r>
      <w:r w:rsidR="00E4734E">
        <w:t xml:space="preserve"> </w:t>
      </w:r>
      <w:r>
        <w:t xml:space="preserve">Given the sample size of </w:t>
      </w:r>
      <w:r>
        <w:rPr>
          <w:i/>
        </w:rPr>
        <w:t>n</w:t>
      </w:r>
      <w:r>
        <w:t xml:space="preserve"> = 20, statistical significance would be detected only for large effect sizes, </w:t>
      </w:r>
      <w:r>
        <w:rPr>
          <w:i/>
        </w:rPr>
        <w:sym w:font="Symbol" w:char="F068"/>
      </w:r>
      <w:r w:rsidRPr="002E31EA">
        <w:rPr>
          <w:i/>
          <w:vertAlign w:val="superscript"/>
        </w:rPr>
        <w:t>2</w:t>
      </w:r>
      <w:r>
        <w:rPr>
          <w:i/>
          <w:vertAlign w:val="superscript"/>
        </w:rPr>
        <w:t xml:space="preserve"> </w:t>
      </w:r>
      <w:r>
        <w:t>&gt; .41.</w:t>
      </w:r>
    </w:p>
    <w:p w14:paraId="6B54F00D" w14:textId="6A123061" w:rsidR="001C5FDA" w:rsidRPr="00A34D7C" w:rsidRDefault="001C5FDA" w:rsidP="001C5FDA">
      <w:pPr>
        <w:spacing w:line="480" w:lineRule="auto"/>
      </w:pPr>
      <w:r>
        <w:tab/>
        <w:t xml:space="preserve">In order to investigate significant differences between </w:t>
      </w:r>
      <w:r w:rsidR="00004E98">
        <w:t xml:space="preserve">political </w:t>
      </w:r>
      <w:r>
        <w:t xml:space="preserve">groups, a Tukey post hoc analysis was conducted. Statistically significant differences were noted between </w:t>
      </w:r>
      <w:r w:rsidR="00CD5C09">
        <w:t>Liberal and Very Conservative</w:t>
      </w:r>
      <w:r>
        <w:t xml:space="preserve">, </w:t>
      </w:r>
      <w:r w:rsidR="00CD5C09">
        <w:t>Very Liberal and Very Conservative</w:t>
      </w:r>
      <w:r>
        <w:t xml:space="preserve">, and </w:t>
      </w:r>
      <w:r w:rsidR="00CD5C09">
        <w:t xml:space="preserve">Conservative and Very Conservative </w:t>
      </w:r>
      <w:r>
        <w:t xml:space="preserve">(see Table 2). Practical significance was assessed using Cohen’s </w:t>
      </w:r>
      <w:r>
        <w:rPr>
          <w:i/>
        </w:rPr>
        <w:t>d</w:t>
      </w:r>
      <w:r>
        <w:t xml:space="preserve">. A moderate effect size was noted between groups </w:t>
      </w:r>
      <w:r w:rsidR="00CD5C09">
        <w:t xml:space="preserve">Liberal </w:t>
      </w:r>
      <w:r>
        <w:t xml:space="preserve">and </w:t>
      </w:r>
      <w:r w:rsidR="00CD5C09">
        <w:t>Conservative</w:t>
      </w:r>
      <w:r>
        <w:t xml:space="preserve">. Large effect sizes were noted between groups </w:t>
      </w:r>
      <w:r w:rsidR="00CD5C09">
        <w:t>Liberal and Very Liberal</w:t>
      </w:r>
      <w:r>
        <w:t xml:space="preserve">, </w:t>
      </w:r>
      <w:r w:rsidR="00CD5C09">
        <w:t>Liberal</w:t>
      </w:r>
      <w:r>
        <w:t xml:space="preserve"> and </w:t>
      </w:r>
      <w:r w:rsidR="00CD5C09">
        <w:t>Very Conservative</w:t>
      </w:r>
      <w:r>
        <w:t xml:space="preserve">, </w:t>
      </w:r>
      <w:r w:rsidR="00CD5C09">
        <w:t>Very Liberal</w:t>
      </w:r>
      <w:r>
        <w:t xml:space="preserve"> and </w:t>
      </w:r>
      <w:r w:rsidR="00CD5C09">
        <w:t>Conservative</w:t>
      </w:r>
      <w:r>
        <w:t xml:space="preserve">, </w:t>
      </w:r>
      <w:r w:rsidR="00CD5C09">
        <w:t>Very Liberal</w:t>
      </w:r>
      <w:r>
        <w:t xml:space="preserve"> and </w:t>
      </w:r>
      <w:r w:rsidR="00CD5C09">
        <w:t>Very Conservative</w:t>
      </w:r>
      <w:r>
        <w:t xml:space="preserve">, and </w:t>
      </w:r>
      <w:r w:rsidR="00CD5C09">
        <w:t>Conservative</w:t>
      </w:r>
      <w:r>
        <w:t xml:space="preserve"> and </w:t>
      </w:r>
      <w:r w:rsidR="00CD5C09">
        <w:t>Very Conservative</w:t>
      </w:r>
      <w:r>
        <w:t xml:space="preserve"> (see Table 2). Large effect sizes were indicative of very strong practical significance.</w:t>
      </w:r>
    </w:p>
    <w:tbl>
      <w:tblPr>
        <w:tblW w:w="5073" w:type="dxa"/>
        <w:tblInd w:w="93" w:type="dxa"/>
        <w:tblLook w:val="0000" w:firstRow="0" w:lastRow="0" w:firstColumn="0" w:lastColumn="0" w:noHBand="0" w:noVBand="0"/>
      </w:tblPr>
      <w:tblGrid>
        <w:gridCol w:w="1473"/>
        <w:gridCol w:w="1202"/>
        <w:gridCol w:w="652"/>
        <w:gridCol w:w="810"/>
        <w:gridCol w:w="936"/>
      </w:tblGrid>
      <w:tr w:rsidR="001C5FDA" w14:paraId="40024B0E" w14:textId="77777777" w:rsidTr="0097702E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A04CE" w14:textId="77777777" w:rsidR="001C5FDA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1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23D6" w14:textId="77777777" w:rsidR="001C5FDA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689C8" w14:textId="77777777" w:rsidR="001C5FDA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08A9B" w14:textId="77777777" w:rsidR="001C5FDA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1C5FDA" w14:paraId="0CA845F3" w14:textId="77777777" w:rsidTr="0097702E">
        <w:trPr>
          <w:trHeight w:val="255"/>
        </w:trPr>
        <w:tc>
          <w:tcPr>
            <w:tcW w:w="50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061D8C" w14:textId="77777777" w:rsidR="001C5FDA" w:rsidRDefault="001C5FDA" w:rsidP="007860F9">
            <w:pPr>
              <w:spacing w:line="480" w:lineRule="auto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Descriptive Statistics </w:t>
            </w:r>
          </w:p>
        </w:tc>
      </w:tr>
      <w:tr w:rsidR="001C5FDA" w14:paraId="36162E40" w14:textId="77777777" w:rsidTr="0097702E">
        <w:trPr>
          <w:trHeight w:val="255"/>
        </w:trPr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036B2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Group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8F2613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B497D2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Mean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3122F0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SD</w:t>
            </w:r>
          </w:p>
        </w:tc>
      </w:tr>
      <w:tr w:rsidR="001C5FDA" w14:paraId="666D0B55" w14:textId="77777777" w:rsidTr="0097702E">
        <w:trPr>
          <w:trHeight w:val="255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917A8" w14:textId="74DE4D24" w:rsidR="001C5FDA" w:rsidRPr="0097702E" w:rsidRDefault="0097702E" w:rsidP="0097702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</w:rPr>
            </w:pPr>
            <w:r w:rsidRPr="0097702E">
              <w:rPr>
                <w:rFonts w:ascii="Arial" w:hAnsi="Arial" w:cs="Arial"/>
                <w:sz w:val="20"/>
              </w:rPr>
              <w:t>Liberal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D49AA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00376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16D5A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2.55</w:t>
            </w:r>
          </w:p>
        </w:tc>
      </w:tr>
      <w:tr w:rsidR="001C5FDA" w14:paraId="3697304C" w14:textId="77777777" w:rsidTr="0097702E">
        <w:trPr>
          <w:trHeight w:val="255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9C77" w14:textId="11719592" w:rsidR="001C5FDA" w:rsidRPr="0097702E" w:rsidRDefault="0097702E" w:rsidP="0097702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</w:rPr>
            </w:pPr>
            <w:r w:rsidRPr="0097702E">
              <w:rPr>
                <w:rFonts w:ascii="Arial" w:hAnsi="Arial" w:cs="Arial"/>
                <w:sz w:val="20"/>
              </w:rPr>
              <w:t>Very Liberal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739E0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42C82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C28D4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  <w:r w:rsidR="00004E98">
              <w:rPr>
                <w:rFonts w:ascii="Arial" w:hAnsi="Arial" w:cs="Arial"/>
                <w:sz w:val="20"/>
              </w:rPr>
              <w:t>3</w:t>
            </w:r>
          </w:p>
        </w:tc>
      </w:tr>
      <w:tr w:rsidR="001C5FDA" w14:paraId="0E02AFF7" w14:textId="77777777" w:rsidTr="0097702E">
        <w:trPr>
          <w:trHeight w:val="255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4A0EF" w14:textId="5D74E3F4" w:rsidR="001C5FDA" w:rsidRPr="0097702E" w:rsidRDefault="0097702E" w:rsidP="0097702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</w:rPr>
            </w:pPr>
            <w:r w:rsidRPr="0097702E">
              <w:rPr>
                <w:rFonts w:ascii="Arial" w:hAnsi="Arial" w:cs="Arial"/>
                <w:sz w:val="20"/>
              </w:rPr>
              <w:t>Conservative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EDC0C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8F6D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724FD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1.58</w:t>
            </w:r>
          </w:p>
        </w:tc>
      </w:tr>
      <w:tr w:rsidR="001C5FDA" w14:paraId="24D4CA4F" w14:textId="77777777" w:rsidTr="0097702E">
        <w:trPr>
          <w:trHeight w:val="255"/>
        </w:trPr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55719" w14:textId="4C9F146B" w:rsidR="001C5FDA" w:rsidRPr="0097702E" w:rsidRDefault="0097702E" w:rsidP="0097702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</w:rPr>
            </w:pPr>
            <w:r w:rsidRPr="0097702E">
              <w:rPr>
                <w:rFonts w:ascii="Arial" w:hAnsi="Arial" w:cs="Arial"/>
                <w:sz w:val="20"/>
              </w:rPr>
              <w:t>Very Conservative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8B0EAE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F16AE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D5F996" w14:textId="77777777" w:rsidR="001C5FDA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1.67</w:t>
            </w:r>
          </w:p>
        </w:tc>
      </w:tr>
    </w:tbl>
    <w:p w14:paraId="1261F1DF" w14:textId="77777777" w:rsidR="001C5FDA" w:rsidRDefault="001C5FDA" w:rsidP="001C5FDA">
      <w:pPr>
        <w:spacing w:line="480" w:lineRule="auto"/>
        <w:ind w:right="-720"/>
        <w:rPr>
          <w:sz w:val="20"/>
        </w:rPr>
      </w:pPr>
    </w:p>
    <w:p w14:paraId="5288C231" w14:textId="77777777" w:rsidR="00004E98" w:rsidRDefault="00004E98" w:rsidP="001C5FDA">
      <w:pPr>
        <w:spacing w:line="480" w:lineRule="auto"/>
        <w:ind w:right="-720"/>
        <w:rPr>
          <w:sz w:val="20"/>
        </w:rPr>
      </w:pPr>
    </w:p>
    <w:p w14:paraId="638EA4E5" w14:textId="77777777" w:rsidR="001C5FDA" w:rsidRDefault="001C5FDA" w:rsidP="001C5FDA">
      <w:pPr>
        <w:spacing w:line="480" w:lineRule="auto"/>
        <w:ind w:right="-720"/>
        <w:rPr>
          <w:sz w:val="20"/>
        </w:rPr>
      </w:pPr>
    </w:p>
    <w:p w14:paraId="7258CFE3" w14:textId="77777777" w:rsidR="001C5FDA" w:rsidRDefault="001C5FDA" w:rsidP="001C5FDA">
      <w:pPr>
        <w:spacing w:line="480" w:lineRule="auto"/>
        <w:ind w:right="-720"/>
        <w:rPr>
          <w:sz w:val="20"/>
        </w:rPr>
      </w:pPr>
    </w:p>
    <w:tbl>
      <w:tblPr>
        <w:tblW w:w="6040" w:type="dxa"/>
        <w:tblInd w:w="93" w:type="dxa"/>
        <w:tblLook w:val="0000" w:firstRow="0" w:lastRow="0" w:firstColumn="0" w:lastColumn="0" w:noHBand="0" w:noVBand="0"/>
      </w:tblPr>
      <w:tblGrid>
        <w:gridCol w:w="960"/>
        <w:gridCol w:w="960"/>
        <w:gridCol w:w="1900"/>
        <w:gridCol w:w="1260"/>
        <w:gridCol w:w="960"/>
      </w:tblGrid>
      <w:tr w:rsidR="001C5FDA" w:rsidRPr="007B0FA4" w14:paraId="44B9EA26" w14:textId="77777777" w:rsidTr="007860F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C2A7B" w14:textId="77777777" w:rsidR="001C5FDA" w:rsidRPr="007B0FA4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Table 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683A1" w14:textId="77777777" w:rsidR="001C5FDA" w:rsidRPr="007B0FA4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49440" w14:textId="77777777" w:rsidR="001C5FDA" w:rsidRPr="007B0FA4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83026" w14:textId="77777777" w:rsidR="001C5FDA" w:rsidRPr="007B0FA4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BCD90" w14:textId="77777777" w:rsidR="001C5FDA" w:rsidRPr="007B0FA4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1C5FDA" w:rsidRPr="007B0FA4" w14:paraId="319C5D4C" w14:textId="77777777" w:rsidTr="007860F9">
        <w:trPr>
          <w:trHeight w:val="255"/>
        </w:trPr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588FAB" w14:textId="77777777" w:rsidR="001C5FDA" w:rsidRPr="007B0FA4" w:rsidRDefault="001C5FDA" w:rsidP="007860F9">
            <w:pPr>
              <w:spacing w:line="480" w:lineRule="auto"/>
              <w:rPr>
                <w:rFonts w:ascii="Arial" w:hAnsi="Arial" w:cs="Arial"/>
                <w:i/>
                <w:iCs/>
                <w:sz w:val="20"/>
              </w:rPr>
            </w:pPr>
            <w:r w:rsidRPr="007B0FA4">
              <w:rPr>
                <w:rFonts w:ascii="Arial" w:hAnsi="Arial" w:cs="Arial"/>
                <w:i/>
                <w:iCs/>
                <w:sz w:val="20"/>
              </w:rPr>
              <w:t>Tukey post hoc analysis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8C611E" w14:textId="77777777" w:rsidR="001C5FDA" w:rsidRPr="007B0FA4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76BF79" w14:textId="77777777" w:rsidR="001C5FDA" w:rsidRPr="007B0FA4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 </w:t>
            </w:r>
          </w:p>
        </w:tc>
      </w:tr>
      <w:tr w:rsidR="001C5FDA" w:rsidRPr="007B0FA4" w14:paraId="33684DBC" w14:textId="77777777" w:rsidTr="007860F9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40C5E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Group Comparisons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4B513B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Mean Difference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783187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7B0FA4">
              <w:rPr>
                <w:rFonts w:ascii="Arial" w:hAnsi="Arial" w:cs="Arial"/>
                <w:i/>
                <w:iCs/>
                <w:sz w:val="2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10F3DD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7B0FA4">
              <w:rPr>
                <w:rFonts w:ascii="Arial" w:hAnsi="Arial" w:cs="Arial"/>
                <w:i/>
                <w:iCs/>
                <w:sz w:val="20"/>
              </w:rPr>
              <w:t>d</w:t>
            </w:r>
          </w:p>
        </w:tc>
      </w:tr>
      <w:tr w:rsidR="001C5FDA" w:rsidRPr="007B0FA4" w14:paraId="70B9907D" w14:textId="77777777" w:rsidTr="007860F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B0714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B65AD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88EC4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-3.00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9C4C8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0.08</w:t>
            </w:r>
            <w:r w:rsidR="00004E9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EDC63" w14:textId="121F0646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1.</w:t>
            </w:r>
            <w:r w:rsidR="00121790">
              <w:rPr>
                <w:rFonts w:ascii="Arial" w:hAnsi="Arial" w:cs="Arial"/>
                <w:sz w:val="20"/>
              </w:rPr>
              <w:t>50</w:t>
            </w:r>
          </w:p>
        </w:tc>
      </w:tr>
      <w:tr w:rsidR="001C5FDA" w:rsidRPr="007B0FA4" w14:paraId="03F41F6A" w14:textId="77777777" w:rsidTr="007860F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F30A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08234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FC7E1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-1.00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3C50E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0.82</w:t>
            </w:r>
            <w:r w:rsidR="00004E9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B540D" w14:textId="5D4CA0AD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0.</w:t>
            </w:r>
            <w:r w:rsidR="00121790">
              <w:rPr>
                <w:rFonts w:ascii="Arial" w:hAnsi="Arial" w:cs="Arial"/>
                <w:sz w:val="20"/>
              </w:rPr>
              <w:t>47</w:t>
            </w:r>
          </w:p>
        </w:tc>
      </w:tr>
      <w:tr w:rsidR="001C5FDA" w:rsidRPr="007B0FA4" w14:paraId="45CA60DB" w14:textId="77777777" w:rsidTr="007860F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5CAD2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2C5AA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5C965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3.60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C2234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0.030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8D7C4" w14:textId="6E43B016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1.</w:t>
            </w:r>
            <w:r w:rsidR="00121790">
              <w:rPr>
                <w:rFonts w:ascii="Arial" w:hAnsi="Arial" w:cs="Arial"/>
                <w:sz w:val="20"/>
              </w:rPr>
              <w:t>6</w:t>
            </w:r>
            <w:r w:rsidRPr="007B0FA4">
              <w:rPr>
                <w:rFonts w:ascii="Arial" w:hAnsi="Arial" w:cs="Arial"/>
                <w:sz w:val="20"/>
              </w:rPr>
              <w:t>7</w:t>
            </w:r>
          </w:p>
        </w:tc>
      </w:tr>
      <w:tr w:rsidR="001C5FDA" w:rsidRPr="007B0FA4" w14:paraId="057187D0" w14:textId="77777777" w:rsidTr="007860F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858D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3D1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40A7D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334C6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0.339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C8830" w14:textId="127C8C9C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1.</w:t>
            </w:r>
            <w:r w:rsidR="00121790">
              <w:rPr>
                <w:rFonts w:ascii="Arial" w:hAnsi="Arial" w:cs="Arial"/>
                <w:sz w:val="20"/>
              </w:rPr>
              <w:t>41</w:t>
            </w:r>
          </w:p>
        </w:tc>
      </w:tr>
      <w:tr w:rsidR="001C5FDA" w:rsidRPr="007B0FA4" w14:paraId="18FBB472" w14:textId="77777777" w:rsidTr="007860F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3D907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9D0A9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6CB9E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6.60*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E5FA4" w14:textId="77777777" w:rsidR="001C5FDA" w:rsidRPr="007B0FA4" w:rsidRDefault="00004E98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 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7D825" w14:textId="63B85EAF" w:rsidR="001C5FDA" w:rsidRPr="007B0FA4" w:rsidRDefault="00121790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4.50</w:t>
            </w:r>
          </w:p>
        </w:tc>
      </w:tr>
      <w:tr w:rsidR="001C5FDA" w:rsidRPr="007B0FA4" w14:paraId="0F71101A" w14:textId="77777777" w:rsidTr="007860F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464B50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C403FF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DA0F7F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4.60*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916E60" w14:textId="77777777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4440A8" w14:textId="2246B946" w:rsidR="001C5FDA" w:rsidRPr="007B0FA4" w:rsidRDefault="001C5FDA" w:rsidP="007860F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2.</w:t>
            </w:r>
            <w:r w:rsidR="00121790">
              <w:rPr>
                <w:rFonts w:ascii="Arial" w:hAnsi="Arial" w:cs="Arial"/>
                <w:sz w:val="20"/>
              </w:rPr>
              <w:t>83</w:t>
            </w:r>
          </w:p>
        </w:tc>
      </w:tr>
      <w:tr w:rsidR="001C5FDA" w:rsidRPr="007B0FA4" w14:paraId="4AA4C0DB" w14:textId="77777777" w:rsidTr="007860F9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36938" w14:textId="77777777" w:rsidR="001C5FDA" w:rsidRPr="007B0FA4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7B0FA4">
              <w:rPr>
                <w:rFonts w:ascii="Arial" w:hAnsi="Arial" w:cs="Arial"/>
                <w:sz w:val="20"/>
              </w:rPr>
              <w:t>*</w:t>
            </w:r>
            <w:r w:rsidRPr="007B0FA4">
              <w:rPr>
                <w:rFonts w:ascii="Arial" w:hAnsi="Arial" w:cs="Arial"/>
                <w:i/>
                <w:iCs/>
                <w:sz w:val="20"/>
              </w:rPr>
              <w:t xml:space="preserve">p </w:t>
            </w:r>
            <w:r>
              <w:rPr>
                <w:rFonts w:ascii="Arial" w:hAnsi="Arial" w:cs="Arial"/>
                <w:sz w:val="20"/>
              </w:rPr>
              <w:t>&lt; .05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88DE4" w14:textId="77777777" w:rsidR="001C5FDA" w:rsidRPr="007B0FA4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84A1C" w14:textId="77777777" w:rsidR="001C5FDA" w:rsidRPr="007B0FA4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C566" w14:textId="77777777" w:rsidR="001C5FDA" w:rsidRPr="007B0FA4" w:rsidRDefault="001C5FDA" w:rsidP="007860F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</w:tbl>
    <w:p w14:paraId="2D87737E" w14:textId="77777777" w:rsidR="00004E98" w:rsidRDefault="00004E98">
      <w:pPr>
        <w:sectPr w:rsidR="00004E98" w:rsidSect="00B82C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666BC2" w14:textId="77777777" w:rsidR="00004E98" w:rsidRPr="00004E98" w:rsidRDefault="00004E98" w:rsidP="00004E9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004E98">
        <w:rPr>
          <w:b/>
          <w:bCs/>
          <w:kern w:val="36"/>
          <w:sz w:val="48"/>
          <w:szCs w:val="48"/>
        </w:rPr>
        <w:lastRenderedPageBreak/>
        <w:t>Results</w:t>
      </w:r>
    </w:p>
    <w:p w14:paraId="3440DA27" w14:textId="77777777" w:rsidR="00004E98" w:rsidRPr="00004E98" w:rsidRDefault="00004E98" w:rsidP="00004E9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04E98">
        <w:rPr>
          <w:b/>
          <w:bCs/>
          <w:sz w:val="36"/>
          <w:szCs w:val="36"/>
        </w:rPr>
        <w:t>Descriptive Statistics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36"/>
        <w:gridCol w:w="656"/>
        <w:gridCol w:w="41"/>
        <w:gridCol w:w="1150"/>
        <w:gridCol w:w="60"/>
        <w:gridCol w:w="1232"/>
        <w:gridCol w:w="78"/>
        <w:gridCol w:w="1714"/>
        <w:gridCol w:w="109"/>
      </w:tblGrid>
      <w:tr w:rsidR="00004E98" w:rsidRPr="00004E98" w14:paraId="43B3E2D3" w14:textId="77777777" w:rsidTr="00004E98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FDDA7E" w14:textId="77777777" w:rsidR="00004E98" w:rsidRPr="00004E98" w:rsidRDefault="00004E98" w:rsidP="00004E98">
            <w:pPr>
              <w:divId w:val="532425777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Descriptive Statistics </w:t>
            </w:r>
          </w:p>
        </w:tc>
      </w:tr>
      <w:tr w:rsidR="00004E98" w:rsidRPr="00004E98" w14:paraId="13CD6A79" w14:textId="77777777" w:rsidTr="00004E9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18454" w14:textId="77777777" w:rsidR="00004E98" w:rsidRPr="00004E98" w:rsidRDefault="00004E98" w:rsidP="00004E9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0E75E4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Anxiety </w:t>
            </w:r>
          </w:p>
        </w:tc>
      </w:tr>
      <w:tr w:rsidR="00004E98" w:rsidRPr="00004E98" w14:paraId="46EA8DE0" w14:textId="77777777" w:rsidTr="00004E9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7A51BD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9E98D3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liberal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59B656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very liberal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B4D95C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conservative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036947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very conservative </w:t>
            </w:r>
          </w:p>
        </w:tc>
      </w:tr>
      <w:tr w:rsidR="00004E98" w:rsidRPr="00004E98" w14:paraId="6F41AACD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1B659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Valid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D445A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4309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939D2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BF7C5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D092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5B733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1EDA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7F0FF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536B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581D471F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278E0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413B3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48A33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6AE0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E3049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F24C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2D25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C2A9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B050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BAD8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7542271A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E4EBF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Mean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FDF7C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D79AE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6.000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1D5B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F93B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9.000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3622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81C66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7.000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6466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8A779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2.400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DD21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37DC5C61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313B9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Std. Deviation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85CAC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822B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2.550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9174E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FEE2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1.225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0B17F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65916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1.581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475E2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B579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1.673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BF253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566DF915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0C364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Skewness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4981D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C60A3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4075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B2C7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5951E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6691B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AF60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DD78B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1.089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2B748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67BFE809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96FBF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Std. Error of Skewness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0D96A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187F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0.913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A852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3AC6B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0.913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A70FF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D9E4E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0.913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F14F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42086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0.913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07186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32170655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5909D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Shapiro-Wilk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9ADBA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A987B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0.944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86D58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78776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0.833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48013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2514F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0.987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64001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24D64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0.881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FC5E1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211657CA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AAA32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P-value of Shapiro-Wilk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0064D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E6C0B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0.692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3EB6B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B2071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86E3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8DB51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29A22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FB1E9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93441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0637B9E6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2A05E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Minimum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F3AFF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7246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3.000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D30A1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F71D2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8.000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E5D41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C69E5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5.000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74385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60A2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1376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424414E4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35E9C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Maximum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1470A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EFF3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9.000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267E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8F13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AC531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BA61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9.000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B08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3DB5F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5.000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3AB6B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2DB406A7" w14:textId="77777777" w:rsidTr="00004E98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8E253C2" w14:textId="77777777" w:rsidR="00004E98" w:rsidRPr="00004E98" w:rsidRDefault="00004E98" w:rsidP="00004E98">
            <w:pPr>
              <w:rPr>
                <w:sz w:val="20"/>
              </w:rPr>
            </w:pPr>
          </w:p>
        </w:tc>
      </w:tr>
    </w:tbl>
    <w:p w14:paraId="6E7011F4" w14:textId="77777777" w:rsidR="00004E98" w:rsidRPr="00004E98" w:rsidRDefault="00004E98" w:rsidP="00004E98">
      <w:pPr>
        <w:rPr>
          <w:szCs w:val="24"/>
        </w:rPr>
      </w:pPr>
      <w:r w:rsidRPr="00004E98">
        <w:rPr>
          <w:szCs w:val="24"/>
        </w:rPr>
        <w:t> </w:t>
      </w:r>
    </w:p>
    <w:p w14:paraId="5C6D9CF3" w14:textId="77777777" w:rsidR="00004E98" w:rsidRPr="00004E98" w:rsidRDefault="00004E98" w:rsidP="00004E9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04E98">
        <w:rPr>
          <w:b/>
          <w:bCs/>
          <w:sz w:val="36"/>
          <w:szCs w:val="36"/>
        </w:rPr>
        <w:t>ANOVA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6"/>
        <w:gridCol w:w="1575"/>
        <w:gridCol w:w="69"/>
        <w:gridCol w:w="270"/>
        <w:gridCol w:w="36"/>
        <w:gridCol w:w="1340"/>
        <w:gridCol w:w="70"/>
        <w:gridCol w:w="690"/>
        <w:gridCol w:w="36"/>
        <w:gridCol w:w="646"/>
        <w:gridCol w:w="36"/>
        <w:gridCol w:w="570"/>
        <w:gridCol w:w="36"/>
      </w:tblGrid>
      <w:tr w:rsidR="00004E98" w:rsidRPr="00004E98" w14:paraId="2E8F7D78" w14:textId="77777777" w:rsidTr="00004E98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2AF1E9" w14:textId="77777777" w:rsidR="00004E98" w:rsidRPr="00004E98" w:rsidRDefault="00004E98" w:rsidP="00004E98">
            <w:pPr>
              <w:divId w:val="2018845470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ANOVA - Anxiety </w:t>
            </w:r>
          </w:p>
        </w:tc>
      </w:tr>
      <w:tr w:rsidR="00004E98" w:rsidRPr="00004E98" w14:paraId="6E2BE894" w14:textId="77777777" w:rsidTr="00004E9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CD27F4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Cases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82A0CB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Sum of Squares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5F6DD4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df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052EF1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Mean Square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E68D9F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F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D3DDD6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F222C0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η² </w:t>
            </w:r>
          </w:p>
        </w:tc>
      </w:tr>
      <w:tr w:rsidR="00004E98" w:rsidRPr="00004E98" w14:paraId="42199C28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664E3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Group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91A54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3D565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114.600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E451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DE63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68C4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12D3B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38.200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1004F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5A24E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11.489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0486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573FF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FF7C6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11D66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0.683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1D448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57233933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887BD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Residuals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C5C5C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03B9F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53.200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C028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9BEA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2C1D6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3140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3.325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4DA04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C9422" w14:textId="77777777" w:rsidR="00004E98" w:rsidRPr="00004E98" w:rsidRDefault="00004E98" w:rsidP="00004E9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BBD88" w14:textId="77777777" w:rsidR="00004E98" w:rsidRPr="00004E98" w:rsidRDefault="00004E98" w:rsidP="00004E98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2FAC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C4FA2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7C66D" w14:textId="77777777" w:rsidR="00004E98" w:rsidRPr="00004E98" w:rsidRDefault="00004E98" w:rsidP="00004E9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435DD" w14:textId="77777777" w:rsidR="00004E98" w:rsidRPr="00004E98" w:rsidRDefault="00004E98" w:rsidP="00004E98">
            <w:pPr>
              <w:jc w:val="right"/>
              <w:rPr>
                <w:sz w:val="20"/>
              </w:rPr>
            </w:pPr>
          </w:p>
        </w:tc>
      </w:tr>
      <w:tr w:rsidR="00004E98" w:rsidRPr="00004E98" w14:paraId="6ECF70E3" w14:textId="77777777" w:rsidTr="00004E98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D56322A" w14:textId="77777777" w:rsidR="00004E98" w:rsidRPr="00004E98" w:rsidRDefault="00004E98" w:rsidP="00004E98">
            <w:pPr>
              <w:rPr>
                <w:sz w:val="20"/>
              </w:rPr>
            </w:pPr>
          </w:p>
        </w:tc>
      </w:tr>
      <w:tr w:rsidR="00004E98" w:rsidRPr="00004E98" w14:paraId="2AB86902" w14:textId="77777777" w:rsidTr="00004E98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AA994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i/>
                <w:iCs/>
                <w:szCs w:val="24"/>
              </w:rPr>
              <w:t xml:space="preserve">Note. </w:t>
            </w:r>
            <w:r w:rsidRPr="00004E98">
              <w:rPr>
                <w:szCs w:val="24"/>
              </w:rPr>
              <w:t xml:space="preserve"> Type III Sum of Squares </w:t>
            </w:r>
          </w:p>
        </w:tc>
      </w:tr>
    </w:tbl>
    <w:p w14:paraId="7FA14E2F" w14:textId="77777777" w:rsidR="00004E98" w:rsidRPr="00004E98" w:rsidRDefault="00004E98" w:rsidP="00004E98">
      <w:pPr>
        <w:rPr>
          <w:szCs w:val="24"/>
        </w:rPr>
      </w:pPr>
      <w:r w:rsidRPr="00004E98">
        <w:rPr>
          <w:szCs w:val="24"/>
        </w:rPr>
        <w:t> </w:t>
      </w:r>
    </w:p>
    <w:p w14:paraId="6A4166D2" w14:textId="77777777" w:rsidR="00004E98" w:rsidRPr="00004E98" w:rsidRDefault="00004E98" w:rsidP="00004E9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proofErr w:type="spellStart"/>
      <w:r w:rsidRPr="00004E98">
        <w:rPr>
          <w:b/>
          <w:bCs/>
          <w:sz w:val="27"/>
          <w:szCs w:val="27"/>
        </w:rPr>
        <w:t>Descriptives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36"/>
        <w:gridCol w:w="580"/>
        <w:gridCol w:w="37"/>
        <w:gridCol w:w="570"/>
        <w:gridCol w:w="36"/>
        <w:gridCol w:w="165"/>
        <w:gridCol w:w="39"/>
      </w:tblGrid>
      <w:tr w:rsidR="00004E98" w:rsidRPr="00004E98" w14:paraId="5F51D466" w14:textId="77777777" w:rsidTr="00004E98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1268F8" w14:textId="77777777" w:rsidR="00004E98" w:rsidRPr="00004E98" w:rsidRDefault="00004E98" w:rsidP="00004E98">
            <w:pPr>
              <w:divId w:val="1958171198"/>
              <w:rPr>
                <w:b/>
                <w:bCs/>
                <w:szCs w:val="24"/>
              </w:rPr>
            </w:pPr>
            <w:proofErr w:type="spellStart"/>
            <w:r w:rsidRPr="00004E98">
              <w:rPr>
                <w:b/>
                <w:bCs/>
                <w:szCs w:val="24"/>
              </w:rPr>
              <w:t>Descriptives</w:t>
            </w:r>
            <w:proofErr w:type="spellEnd"/>
            <w:r w:rsidRPr="00004E98">
              <w:rPr>
                <w:b/>
                <w:bCs/>
                <w:szCs w:val="24"/>
              </w:rPr>
              <w:t xml:space="preserve"> - Anxiety </w:t>
            </w:r>
          </w:p>
        </w:tc>
      </w:tr>
      <w:tr w:rsidR="00004E98" w:rsidRPr="00004E98" w14:paraId="6E6ECDB1" w14:textId="77777777" w:rsidTr="00004E9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4E32E1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Group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02DC2D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Mean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C5562E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SD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880684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N </w:t>
            </w:r>
          </w:p>
        </w:tc>
      </w:tr>
      <w:tr w:rsidR="00004E98" w:rsidRPr="00004E98" w14:paraId="0F4926B4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5F40A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conservative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FFD79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BDCA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7.000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BE5E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EB709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1.581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0CD5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2E3E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E6945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29452C2A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E886F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liberal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4C7EA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641B1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6.000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2C311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263F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2.550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25C7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30C3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7730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6B0AA1FF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BFF74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very conservative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3E7D3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14599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2.400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7BE0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2A66E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1.673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79C29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E8E55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750FB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6AB9B037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5945F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very liberal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9C72C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AA179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9.000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18B86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29B73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1.225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269B5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E4A4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453A4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46FD8952" w14:textId="77777777" w:rsidTr="00004E98"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0AA0E8F" w14:textId="77777777" w:rsidR="00004E98" w:rsidRPr="00004E98" w:rsidRDefault="00004E98" w:rsidP="00004E98">
            <w:pPr>
              <w:rPr>
                <w:sz w:val="20"/>
              </w:rPr>
            </w:pPr>
          </w:p>
        </w:tc>
      </w:tr>
    </w:tbl>
    <w:p w14:paraId="0789F4EC" w14:textId="77777777" w:rsidR="00004E98" w:rsidRPr="00004E98" w:rsidRDefault="00004E98" w:rsidP="00004E98">
      <w:pPr>
        <w:rPr>
          <w:szCs w:val="24"/>
        </w:rPr>
      </w:pPr>
      <w:r w:rsidRPr="00004E98">
        <w:rPr>
          <w:szCs w:val="24"/>
        </w:rPr>
        <w:t> </w:t>
      </w:r>
    </w:p>
    <w:p w14:paraId="5285A4F3" w14:textId="77777777" w:rsidR="00004E98" w:rsidRPr="00004E98" w:rsidRDefault="00004E98" w:rsidP="00004E9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04E98">
        <w:rPr>
          <w:b/>
          <w:bCs/>
          <w:sz w:val="27"/>
          <w:szCs w:val="27"/>
        </w:rPr>
        <w:t>Assumption Checks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60"/>
        <w:gridCol w:w="949"/>
        <w:gridCol w:w="60"/>
        <w:gridCol w:w="1149"/>
        <w:gridCol w:w="60"/>
        <w:gridCol w:w="949"/>
        <w:gridCol w:w="60"/>
      </w:tblGrid>
      <w:tr w:rsidR="00004E98" w:rsidRPr="00004E98" w14:paraId="1F32F000" w14:textId="77777777" w:rsidTr="00004E98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15E65A" w14:textId="77777777" w:rsidR="00004E98" w:rsidRPr="00004E98" w:rsidRDefault="00004E98" w:rsidP="00004E98">
            <w:pPr>
              <w:divId w:val="497043292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lastRenderedPageBreak/>
              <w:t>Test for Equality of Variances (</w:t>
            </w:r>
            <w:proofErr w:type="spellStart"/>
            <w:r w:rsidRPr="00004E98">
              <w:rPr>
                <w:b/>
                <w:bCs/>
                <w:szCs w:val="24"/>
              </w:rPr>
              <w:t>Levene's</w:t>
            </w:r>
            <w:proofErr w:type="spellEnd"/>
            <w:r w:rsidRPr="00004E98">
              <w:rPr>
                <w:b/>
                <w:bCs/>
                <w:szCs w:val="24"/>
              </w:rPr>
              <w:t xml:space="preserve">) </w:t>
            </w:r>
          </w:p>
        </w:tc>
      </w:tr>
      <w:tr w:rsidR="00004E98" w:rsidRPr="00004E98" w14:paraId="04B4E7A4" w14:textId="77777777" w:rsidTr="00004E9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2DF9A9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F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CF6AB5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df1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3DA94C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df2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94C777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p </w:t>
            </w:r>
          </w:p>
        </w:tc>
      </w:tr>
      <w:tr w:rsidR="00004E98" w:rsidRPr="00004E98" w14:paraId="4806A284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7360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1.367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06DE8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51C13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3.000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2C09E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464B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16.000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76E02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413C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0.289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8677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1C2B89E8" w14:textId="77777777" w:rsidTr="00004E98"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1956AB5" w14:textId="77777777" w:rsidR="00004E98" w:rsidRPr="00004E98" w:rsidRDefault="00004E98" w:rsidP="00004E98">
            <w:pPr>
              <w:rPr>
                <w:sz w:val="20"/>
              </w:rPr>
            </w:pPr>
          </w:p>
        </w:tc>
      </w:tr>
    </w:tbl>
    <w:p w14:paraId="4D564F30" w14:textId="77777777" w:rsidR="00004E98" w:rsidRPr="00004E98" w:rsidRDefault="00004E98" w:rsidP="00004E98">
      <w:pPr>
        <w:rPr>
          <w:szCs w:val="24"/>
        </w:rPr>
      </w:pPr>
      <w:r w:rsidRPr="00004E98">
        <w:rPr>
          <w:szCs w:val="24"/>
        </w:rPr>
        <w:t> </w:t>
      </w:r>
    </w:p>
    <w:p w14:paraId="0328D057" w14:textId="77777777" w:rsidR="00004E98" w:rsidRPr="00004E98" w:rsidRDefault="00004E98" w:rsidP="00004E9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04E98">
        <w:rPr>
          <w:b/>
          <w:bCs/>
          <w:sz w:val="27"/>
          <w:szCs w:val="27"/>
        </w:rPr>
        <w:t>Post Hoc Tests</w:t>
      </w:r>
    </w:p>
    <w:p w14:paraId="4FCD3C4C" w14:textId="77777777" w:rsidR="00004E98" w:rsidRPr="00004E98" w:rsidRDefault="00004E98" w:rsidP="00004E98">
      <w:pPr>
        <w:spacing w:before="100" w:beforeAutospacing="1" w:after="100" w:afterAutospacing="1"/>
        <w:outlineLvl w:val="3"/>
        <w:rPr>
          <w:b/>
          <w:bCs/>
          <w:szCs w:val="24"/>
        </w:rPr>
      </w:pPr>
      <w:r w:rsidRPr="00004E98">
        <w:rPr>
          <w:b/>
          <w:bCs/>
          <w:szCs w:val="24"/>
        </w:rPr>
        <w:t>Standard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36"/>
        <w:gridCol w:w="1790"/>
        <w:gridCol w:w="36"/>
        <w:gridCol w:w="1646"/>
        <w:gridCol w:w="97"/>
        <w:gridCol w:w="570"/>
        <w:gridCol w:w="36"/>
        <w:gridCol w:w="650"/>
        <w:gridCol w:w="36"/>
        <w:gridCol w:w="992"/>
        <w:gridCol w:w="59"/>
        <w:gridCol w:w="646"/>
        <w:gridCol w:w="36"/>
      </w:tblGrid>
      <w:tr w:rsidR="00004E98" w:rsidRPr="00004E98" w14:paraId="7DFD02DA" w14:textId="77777777" w:rsidTr="00004E98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8F0D46" w14:textId="77777777" w:rsidR="00004E98" w:rsidRPr="00004E98" w:rsidRDefault="00004E98" w:rsidP="00004E98">
            <w:pPr>
              <w:divId w:val="2006929915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Post Hoc Comparisons - Group </w:t>
            </w:r>
          </w:p>
        </w:tc>
      </w:tr>
      <w:tr w:rsidR="00004E98" w:rsidRPr="00004E98" w14:paraId="7410646F" w14:textId="77777777" w:rsidTr="00004E9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636FE3" w14:textId="77777777" w:rsidR="00004E98" w:rsidRPr="00004E98" w:rsidRDefault="00004E98" w:rsidP="00004E9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C839B1" w14:textId="77777777" w:rsidR="00004E98" w:rsidRPr="00004E98" w:rsidRDefault="00004E98" w:rsidP="00004E9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5A4099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Mean Difference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6D0CD1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SE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918298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4BE4CC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Cohen's 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54F4F" w14:textId="77777777" w:rsidR="00004E98" w:rsidRPr="00004E98" w:rsidRDefault="00004E98" w:rsidP="00004E98">
            <w:pPr>
              <w:jc w:val="center"/>
              <w:rPr>
                <w:b/>
                <w:bCs/>
                <w:szCs w:val="24"/>
              </w:rPr>
            </w:pPr>
            <w:r w:rsidRPr="00004E98">
              <w:rPr>
                <w:b/>
                <w:bCs/>
                <w:szCs w:val="24"/>
              </w:rPr>
              <w:t xml:space="preserve">p </w:t>
            </w:r>
            <w:proofErr w:type="spellStart"/>
            <w:r w:rsidRPr="00004E98">
              <w:rPr>
                <w:b/>
                <w:bCs/>
                <w:szCs w:val="24"/>
                <w:vertAlign w:val="subscript"/>
              </w:rPr>
              <w:t>tukey</w:t>
            </w:r>
            <w:proofErr w:type="spellEnd"/>
            <w:r w:rsidRPr="00004E98">
              <w:rPr>
                <w:b/>
                <w:bCs/>
                <w:szCs w:val="24"/>
                <w:vertAlign w:val="subscript"/>
              </w:rPr>
              <w:t xml:space="preserve"> </w:t>
            </w:r>
          </w:p>
        </w:tc>
      </w:tr>
      <w:tr w:rsidR="00004E98" w:rsidRPr="00004E98" w14:paraId="1DC0E397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9F541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liberal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28D10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A7F79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very, liberal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90492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1370B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-3.000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9915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88EB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6F3F8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A387F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-2.601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6644F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3146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-1.500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35863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2B00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88D48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45498B43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7E8EE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FBA77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1566C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conservative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D5C5A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CD0D8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-1.000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4DABE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8708E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2E70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4EF1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-0.867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574E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2FEE3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-0.471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9280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24F8B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0.822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252A6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2A5BE173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064D4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8EA8A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A7B95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very, conservative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3FFF6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F4B86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3.600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10E45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D6EE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4FEF9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64298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3.122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5742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6833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1.669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5B165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361A9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64E6F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066A2460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4CCA0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very, liberal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AD36A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D79AD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conservative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1B877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E862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2.000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E10C3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5ED52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E2C9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199D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1.734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77FB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A275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1.414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48C2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27B15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0.339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89B4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452A3DD3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23D16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E3009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5A833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very, conservative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2B20C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56A92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6.600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658AE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4C56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6EBF8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76F39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5.723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2A75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B6377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4.501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3AD6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0858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FC44B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51AD00A9" w14:textId="77777777" w:rsidTr="00004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2938F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conservative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38881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86F24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szCs w:val="24"/>
              </w:rPr>
              <w:t xml:space="preserve">very, conservative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C98DA" w14:textId="77777777" w:rsidR="00004E98" w:rsidRPr="00004E98" w:rsidRDefault="00004E98" w:rsidP="00004E9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09A0C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4.600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27056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C730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1.153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4A616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460BA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3.989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F8508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F45FE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2.826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D030F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B0B80" w14:textId="77777777" w:rsidR="00004E98" w:rsidRPr="00004E98" w:rsidRDefault="00004E98" w:rsidP="00004E98">
            <w:pPr>
              <w:jc w:val="right"/>
              <w:rPr>
                <w:szCs w:val="24"/>
              </w:rPr>
            </w:pPr>
            <w:r w:rsidRPr="00004E98">
              <w:rPr>
                <w:szCs w:val="24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4F80D" w14:textId="77777777" w:rsidR="00004E98" w:rsidRPr="00004E98" w:rsidRDefault="00004E98" w:rsidP="00004E98">
            <w:pPr>
              <w:jc w:val="right"/>
              <w:rPr>
                <w:szCs w:val="24"/>
              </w:rPr>
            </w:pPr>
          </w:p>
        </w:tc>
      </w:tr>
      <w:tr w:rsidR="00004E98" w:rsidRPr="00004E98" w14:paraId="7BE76EEF" w14:textId="77777777" w:rsidTr="00004E98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4FF297C" w14:textId="77777777" w:rsidR="00004E98" w:rsidRPr="00004E98" w:rsidRDefault="00004E98" w:rsidP="00004E98">
            <w:pPr>
              <w:rPr>
                <w:sz w:val="20"/>
              </w:rPr>
            </w:pPr>
          </w:p>
        </w:tc>
      </w:tr>
      <w:tr w:rsidR="00004E98" w:rsidRPr="00004E98" w14:paraId="6E0C53B5" w14:textId="77777777" w:rsidTr="00004E98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7AE72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i/>
                <w:iCs/>
                <w:szCs w:val="24"/>
              </w:rPr>
              <w:t xml:space="preserve">Note. </w:t>
            </w:r>
            <w:r w:rsidRPr="00004E98">
              <w:rPr>
                <w:szCs w:val="24"/>
              </w:rPr>
              <w:t xml:space="preserve"> Cohen's d does not correct for multiple comparisons. </w:t>
            </w:r>
          </w:p>
        </w:tc>
      </w:tr>
      <w:tr w:rsidR="00004E98" w:rsidRPr="00004E98" w14:paraId="57E91E11" w14:textId="77777777" w:rsidTr="00004E98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4302D" w14:textId="77777777" w:rsidR="00004E98" w:rsidRPr="00004E98" w:rsidRDefault="00004E98" w:rsidP="00004E98">
            <w:pPr>
              <w:rPr>
                <w:szCs w:val="24"/>
              </w:rPr>
            </w:pPr>
            <w:r w:rsidRPr="00004E98">
              <w:rPr>
                <w:i/>
                <w:iCs/>
                <w:szCs w:val="24"/>
              </w:rPr>
              <w:t xml:space="preserve">Note. </w:t>
            </w:r>
            <w:r w:rsidRPr="00004E98">
              <w:rPr>
                <w:szCs w:val="24"/>
              </w:rPr>
              <w:t xml:space="preserve"> P-value adjusted for comparing a family of 4 </w:t>
            </w:r>
          </w:p>
        </w:tc>
      </w:tr>
    </w:tbl>
    <w:p w14:paraId="25334559" w14:textId="77777777" w:rsidR="000552B5" w:rsidRDefault="000552B5"/>
    <w:sectPr w:rsidR="000552B5" w:rsidSect="00B82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7C41"/>
    <w:multiLevelType w:val="hybridMultilevel"/>
    <w:tmpl w:val="F4E6A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DA"/>
    <w:rsid w:val="00004E98"/>
    <w:rsid w:val="00034D72"/>
    <w:rsid w:val="000552B5"/>
    <w:rsid w:val="00112EA5"/>
    <w:rsid w:val="00121790"/>
    <w:rsid w:val="001C4138"/>
    <w:rsid w:val="001C5FDA"/>
    <w:rsid w:val="002044E1"/>
    <w:rsid w:val="00290992"/>
    <w:rsid w:val="003137F0"/>
    <w:rsid w:val="003F3501"/>
    <w:rsid w:val="003F4D4F"/>
    <w:rsid w:val="00672FD3"/>
    <w:rsid w:val="0081763E"/>
    <w:rsid w:val="008F71E6"/>
    <w:rsid w:val="0097702E"/>
    <w:rsid w:val="00A41A7B"/>
    <w:rsid w:val="00AC1973"/>
    <w:rsid w:val="00B2108C"/>
    <w:rsid w:val="00B64E5C"/>
    <w:rsid w:val="00B82CFD"/>
    <w:rsid w:val="00C03333"/>
    <w:rsid w:val="00C67A37"/>
    <w:rsid w:val="00CD5C09"/>
    <w:rsid w:val="00E4734E"/>
    <w:rsid w:val="00EC7C60"/>
    <w:rsid w:val="00F62FE0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5FBE"/>
  <w15:chartTrackingRefBased/>
  <w15:docId w15:val="{3C3305C3-8352-6A4A-91B9-99EC1F90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FDA"/>
    <w:rPr>
      <w:rFonts w:eastAsia="Times New Roman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004E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04E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04E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04E98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E98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04E98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04E98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04E98"/>
    <w:rPr>
      <w:rFonts w:eastAsia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004E98"/>
    <w:rPr>
      <w:i/>
      <w:iCs/>
    </w:rPr>
  </w:style>
  <w:style w:type="paragraph" w:styleId="ListParagraph">
    <w:name w:val="List Paragraph"/>
    <w:basedOn w:val="Normal"/>
    <w:uiPriority w:val="34"/>
    <w:qFormat/>
    <w:rsid w:val="00977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81768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3934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9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6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5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2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652477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7355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6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2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37825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7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361574">
                                              <w:marLeft w:val="0"/>
                                              <w:marRight w:val="108"/>
                                              <w:marTop w:val="1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76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3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791233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6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5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060474">
                                              <w:marLeft w:val="0"/>
                                              <w:marRight w:val="108"/>
                                              <w:marTop w:val="1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07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04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544216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3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334685">
                                              <w:marLeft w:val="0"/>
                                              <w:marRight w:val="108"/>
                                              <w:marTop w:val="1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33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3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579899">
                                                      <w:marLeft w:val="0"/>
                                                      <w:marRight w:val="108"/>
                                                      <w:marTop w:val="18"/>
                                                      <w:marBottom w:val="10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44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15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2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543</Words>
  <Characters>3069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rsbalkin</dc:creator>
  <cp:keywords/>
  <dc:description/>
  <cp:lastModifiedBy>rsbalkin</cp:lastModifiedBy>
  <cp:revision>4</cp:revision>
  <dcterms:created xsi:type="dcterms:W3CDTF">2020-09-10T21:29:00Z</dcterms:created>
  <dcterms:modified xsi:type="dcterms:W3CDTF">2021-03-01T18:04:00Z</dcterms:modified>
</cp:coreProperties>
</file>